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344032"/>
          <w:sz w:val="32"/>
          <w:szCs w:val="32"/>
        </w:rPr>
        <w:t xml:space="preserve">OWRD Rulemaking 2026–27: What's Changing and Why It Matters</w:t>
      </w:r>
    </w:p>
    <w:p>
      <w:pPr>
        <w:spacing w:after="200"/>
      </w:pPr>
      <w:r>
        <w:rPr>
          <w:i/>
          <w:iCs/>
          <w:color w:val="595959"/>
          <w:sz w:val="22"/>
          <w:szCs w:val="22"/>
        </w:rPr>
        <w:t xml:space="preserve">OAR Chapter 690, Divisions 250, 260, 300, and 340 — scoping now, adoption targeted 2027</w:t>
      </w:r>
    </w:p>
    <w:p>
      <w:pPr>
        <w:spacing w:after="200"/>
      </w:pPr>
      <w:r>
        <w:rPr>
          <w:b/>
          <w:bCs/>
        </w:rPr>
        <w:t xml:space="preserve">The short version:</w:t>
      </w:r>
      <w:r>
        <w:t xml:space="preserve"> OWRD is updating its watermaster regulation, civil-penalty, definitions, and exempt-use rules for the first time in decades. Most changes are housekeeping driven by recent legislation. A few have real operational implications for irrigators, small landowners, and restoration practitioners.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140"/>
        <w:gridCol w:w="4140"/>
      </w:tblGrid>
      <w:tr>
        <w:trPr>
          <w:tblHeader/>
        </w:trP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3440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</w:rPr>
              <w:t xml:space="preserve">Topic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3440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</w:rPr>
              <w:t xml:space="preserve">What OWRD is proposing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3440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</w:rPr>
              <w:t xml:space="preserve">Potential outcomes for our work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Waste of Water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Consolidate three competing definitions across Divisions 260, 300, and 400. Clarify what counts as waste for civil-penalty purposes. Current OAR 690-400-0010(16) includes economic-feasibility, environmental-impact, and available-technology tests.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Tighter definition could increase scrutiny on older flood-irrigation systems with high system loss. The protective feasibility and environmental-impact tests could be narrowed. </w:t>
            </w:r>
            <w:r>
              <w:rPr>
                <w:b/>
                <w:bCs/>
              </w:rPr>
              <w:t xml:space="preserve">Watch this one closely</w:t>
            </w:r>
            <w:r>
              <w:t xml:space="preserve"> — it affects both irrigators and restoration claims of "injury."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Bulges in the System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First-ever codified definition. Currently managed by internal guidance. Scoping language: off-channel, temporary, no year-round storage, no in-channel features, no groundwater capture.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Could clean up legitimate operational bulges (reuse ponds, rotation buffering, ag sprayer fills). Risk: enforcement attention on existing ponds that intercept shallow groundwater or hold water outside the irrigation season. </w:t>
            </w:r>
            <w:r>
              <w:rPr>
                <w:b/>
                <w:bCs/>
              </w:rPr>
              <w:t xml:space="preserve">Brief BDA note below.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Violations &amp; Civil Penalties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Modernize Division 260 (last touched 1990). Add new violation categories from recent legislation: hauled-water recordkeeping, unlicensed cannabis sites, measurement non-reporting. Clarify when daily penalties stack. Notice of Violation window now 10 days (up from 5).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Clearer enforcement framework. More predictable consequences for non-compliance. Most landowners we work with won't notice unless they're already in the watermaster's sights — but the rules will be more enforceable when they are.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Exempt Uses (HB 3372)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New as of January 1, 2026: up to 3,000 gpd of groundwater from an exempt well to irrigate up to a half-acre of lawn, personal garden, or commercial garden. Capped at 5,000 gpd combined with other commercial/industrial exempt uses. Does not apply to cannabis.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Real opportunity for small landowners and new/small farms in our service area. A legal pathway to commercial gardening on existing exempt wells without applying for a water right.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Stockwater Cap (SB 85)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12,000 gpd cap on the stockwater exemption for new or expanding operations in critical groundwater areas.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No critical groundwater areas currently in our immediate service area, but worth tracking for partner SWCDs in the basin.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Water Hauling (HB 4061)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Suppliers and haulers must retain purchase/delivery records. Hauling to unregistered cannabis sites prohibited with civil and criminal penalties.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Mostly administrative. Affects haulers and commercial buyers — relevant if any of our landowners purchase hauled water.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Measurement Reporting (HB 2010)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OWRD can require reporting where a water right is already conditioned to require measurement.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Affects water-right holders with measurement conditions on their certificates. Likely a tighter reporting cadence in coming years.</w:t>
            </w:r>
          </w:p>
        </w:tc>
      </w:tr>
      <w:tr>
        <w:tc>
          <w:tcPr>
            <w:tcW w:type="dxa" w:w="180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b/>
                <w:bCs/>
              </w:rPr>
              <w:t xml:space="preserve">Rotation Agreements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Clarify the process for setting up and modifying rotation agreements between water users.</w:t>
            </w:r>
          </w:p>
        </w:tc>
        <w:tc>
          <w:tcPr>
            <w:tcW w:type="dxa" w:w="4140"/>
            <w:tcBorders>
              <w:top w:val="single" w:color="8C8C8C" w:sz="4"/>
              <w:left w:val="single" w:color="8C8C8C" w:sz="4"/>
              <w:bottom w:val="single" w:color="8C8C8C" w:sz="4"/>
              <w:right w:val="single" w:color="8C8C8C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t xml:space="preserve">Relevant to ditch-shared irrigators in the basin. A cleaner process could reduce informal disputes that currently land on the watermaster's desk.</w:t>
            </w:r>
          </w:p>
        </w:tc>
      </w:tr>
    </w:tbl>
    <w:p>
      <w:pPr>
        <w:spacing w:after="120"/>
      </w:pPr>
    </w:p>
    <w:p>
      <w:pPr>
        <w:pBdr>
          <w:left w:val="single" w:color="344032" w:sz="18" w:space="12"/>
        </w:pBdr>
        <w:spacing w:after="80" w:before="120"/>
      </w:pPr>
      <w:r>
        <w:rPr>
          <w:b/>
          <w:bCs/>
          <w:color w:val="344032"/>
        </w:rPr>
        <w:t xml:space="preserve">A note on BDAs.</w:t>
      </w:r>
    </w:p>
    <w:p>
      <w:pPr>
        <w:pBdr>
          <w:left w:val="single" w:color="344032" w:sz="18" w:space="12"/>
        </w:pBdr>
        <w:spacing w:after="200"/>
      </w:pPr>
      <w:r>
        <w:t xml:space="preserve">BDAs are permitted through DSL Removal-Fill, USACE Section 404, DEQ 401, and ODFW — not OWRD. But the new "bulge" definition could create regulatory ambiguity for in-channel restoration features that elevate water tables. Worth a comment in the scoping record asking OWRD to explicitly exclude restoration features authorized under DSL GAs or USACE NWPs from any new bulge or unpermitted-storage definition.</w:t>
      </w:r>
    </w:p>
    <w:p>
      <w:pPr>
        <w:spacing w:after="80" w:before="0"/>
      </w:pPr>
      <w:r>
        <w:rPr>
          <w:b/>
          <w:bCs/>
          <w:color w:val="344032"/>
          <w:sz w:val="24"/>
          <w:szCs w:val="24"/>
        </w:rPr>
        <w:t xml:space="preserve">How to engage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Surveys (now):</w:t>
      </w:r>
      <w:r>
        <w:t xml:space="preserve"> Topic-specific scoping surveys are open on the OWRD rulemaking page. Comments create a paper trail the Rules Advisory Committee must address.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Virtual open house:</w:t>
      </w:r>
      <w:r>
        <w:t xml:space="preserve"> June 22, 2026, 2–4 p.m. Register through the OWRD rulemaking page.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Rules Advisory Committee (fall 2026):</w:t>
      </w:r>
      <w:r>
        <w:t xml:space="preserve"> Where actual rule language gets drafted. The meaningful influence window.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Proposed rules public comment (2027):</w:t>
      </w:r>
      <w:r>
        <w:t xml:space="preserve"> Final formal comment window before Commission adoption.</w:t>
      </w:r>
    </w:p>
    <w:p>
      <w:pPr>
        <w:pBdr>
          <w:top w:val="single" w:color="344032" w:sz="6" w:space="8"/>
        </w:pBdr>
        <w:spacing w:after="0" w:before="280"/>
      </w:pPr>
      <w:r>
        <w:rPr>
          <w:i/>
          <w:iCs/>
          <w:color w:val="595959"/>
          <w:sz w:val="18"/>
          <w:szCs w:val="18"/>
        </w:rPr>
        <w:t xml:space="preserve">Prepared by Monument Soil and Water Conservation District. Source: OWRD Division 250/260/300/340 rulemaking scoping handouts (oregon.gov/owrd).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3440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3440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2026-05-19T18:29:44.758Z</dcterms:created>
  <dcterms:modified xsi:type="dcterms:W3CDTF">2026-05-19T18:29:44.773Z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